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9D5AF" w14:textId="77777777" w:rsidR="008F1B55" w:rsidRDefault="008F1B55">
      <w:pPr>
        <w:pStyle w:val="Title"/>
      </w:pPr>
      <w:r>
        <w:t xml:space="preserve">SUMMARY ANNUAL REPORT FOR </w:t>
      </w:r>
    </w:p>
    <w:p w14:paraId="25C77371" w14:textId="77777777" w:rsidR="008F1B55" w:rsidRDefault="008F1B55">
      <w:pPr>
        <w:pStyle w:val="Title"/>
      </w:pPr>
      <w:r>
        <w:t>N</w:t>
      </w:r>
      <w:r w:rsidR="000037A1">
        <w:t>.</w:t>
      </w:r>
      <w:r>
        <w:t>E</w:t>
      </w:r>
      <w:r w:rsidR="000037A1">
        <w:t>.</w:t>
      </w:r>
      <w:r>
        <w:t>C</w:t>
      </w:r>
      <w:r w:rsidR="000037A1">
        <w:t>.</w:t>
      </w:r>
      <w:r>
        <w:t>A</w:t>
      </w:r>
      <w:r w:rsidR="000037A1">
        <w:t>.</w:t>
      </w:r>
      <w:r>
        <w:t xml:space="preserve"> LOCAL 145 I</w:t>
      </w:r>
      <w:r w:rsidR="000037A1">
        <w:t>.</w:t>
      </w:r>
      <w:r>
        <w:t>B</w:t>
      </w:r>
      <w:r w:rsidR="000037A1">
        <w:t>.</w:t>
      </w:r>
      <w:r>
        <w:t>E</w:t>
      </w:r>
      <w:r w:rsidR="000037A1">
        <w:t>.</w:t>
      </w:r>
      <w:r>
        <w:t>W</w:t>
      </w:r>
      <w:r w:rsidR="000037A1">
        <w:t>.</w:t>
      </w:r>
      <w:r>
        <w:t xml:space="preserve"> ANNUITY </w:t>
      </w:r>
      <w:r w:rsidR="001C296E">
        <w:t xml:space="preserve">AND PROFIT SHARING </w:t>
      </w:r>
      <w:r>
        <w:t>FUND</w:t>
      </w:r>
    </w:p>
    <w:p w14:paraId="6FA479DC" w14:textId="77777777" w:rsidR="008F1B55" w:rsidRDefault="008F1B55" w:rsidP="008842F3">
      <w:pPr>
        <w:spacing w:line="120" w:lineRule="auto"/>
        <w:jc w:val="center"/>
        <w:rPr>
          <w:b/>
          <w:sz w:val="24"/>
        </w:rPr>
      </w:pPr>
    </w:p>
    <w:p w14:paraId="13E3D586" w14:textId="6DF93694" w:rsidR="008F1B55" w:rsidRPr="008842F3" w:rsidRDefault="008F1B55">
      <w:pPr>
        <w:rPr>
          <w:sz w:val="21"/>
          <w:szCs w:val="21"/>
        </w:rPr>
      </w:pPr>
      <w:r w:rsidRPr="008842F3">
        <w:rPr>
          <w:sz w:val="21"/>
          <w:szCs w:val="21"/>
        </w:rPr>
        <w:t>This is a summary of the annual report for the N.E.C.A. Local Union No. 145 I.B.E.W. Annuity</w:t>
      </w:r>
      <w:r w:rsidR="001C296E" w:rsidRPr="008842F3">
        <w:rPr>
          <w:sz w:val="21"/>
          <w:szCs w:val="21"/>
        </w:rPr>
        <w:t xml:space="preserve"> and Profit Sharing</w:t>
      </w:r>
      <w:r w:rsidRPr="008842F3">
        <w:rPr>
          <w:sz w:val="21"/>
          <w:szCs w:val="21"/>
        </w:rPr>
        <w:t xml:space="preserve"> Fund, EIN 36-</w:t>
      </w:r>
      <w:r w:rsidR="009043A8" w:rsidRPr="008842F3">
        <w:rPr>
          <w:sz w:val="21"/>
          <w:szCs w:val="21"/>
        </w:rPr>
        <w:t>3730534</w:t>
      </w:r>
      <w:r w:rsidRPr="008842F3">
        <w:rPr>
          <w:sz w:val="21"/>
          <w:szCs w:val="21"/>
        </w:rPr>
        <w:t>, Plan number 002, for the period April 1, 20</w:t>
      </w:r>
      <w:r w:rsidR="005E0811" w:rsidRPr="008842F3">
        <w:rPr>
          <w:sz w:val="21"/>
          <w:szCs w:val="21"/>
        </w:rPr>
        <w:t>2</w:t>
      </w:r>
      <w:r w:rsidR="00805BDF" w:rsidRPr="008842F3">
        <w:rPr>
          <w:sz w:val="21"/>
          <w:szCs w:val="21"/>
        </w:rPr>
        <w:t>3</w:t>
      </w:r>
      <w:r w:rsidR="00C50BF1" w:rsidRPr="008842F3">
        <w:rPr>
          <w:sz w:val="21"/>
          <w:szCs w:val="21"/>
        </w:rPr>
        <w:t xml:space="preserve"> </w:t>
      </w:r>
      <w:r w:rsidRPr="008842F3">
        <w:rPr>
          <w:sz w:val="21"/>
          <w:szCs w:val="21"/>
        </w:rPr>
        <w:t>through March 31, 20</w:t>
      </w:r>
      <w:r w:rsidR="008B4048" w:rsidRPr="008842F3">
        <w:rPr>
          <w:sz w:val="21"/>
          <w:szCs w:val="21"/>
        </w:rPr>
        <w:t>2</w:t>
      </w:r>
      <w:r w:rsidR="00805BDF" w:rsidRPr="008842F3">
        <w:rPr>
          <w:sz w:val="21"/>
          <w:szCs w:val="21"/>
        </w:rPr>
        <w:t>4</w:t>
      </w:r>
      <w:r w:rsidR="00FE0A34" w:rsidRPr="008842F3">
        <w:rPr>
          <w:sz w:val="21"/>
          <w:szCs w:val="21"/>
        </w:rPr>
        <w:t>.</w:t>
      </w:r>
      <w:r w:rsidRPr="008842F3">
        <w:rPr>
          <w:sz w:val="21"/>
          <w:szCs w:val="21"/>
        </w:rPr>
        <w:t xml:space="preserve">  This annual report has been filed with the Pension and Welfare Benefits Administration, as required under the Employee Retirement Income Security Act of 1974 (ERISA).</w:t>
      </w:r>
    </w:p>
    <w:p w14:paraId="26833F09" w14:textId="77777777" w:rsidR="008F1B55" w:rsidRPr="008842F3" w:rsidRDefault="008F1B55">
      <w:pPr>
        <w:rPr>
          <w:sz w:val="21"/>
          <w:szCs w:val="21"/>
        </w:rPr>
      </w:pPr>
    </w:p>
    <w:p w14:paraId="14160F71" w14:textId="79EC0F0D" w:rsidR="008F1B55" w:rsidRPr="008842F3" w:rsidRDefault="008F1B55">
      <w:pPr>
        <w:rPr>
          <w:sz w:val="21"/>
          <w:szCs w:val="21"/>
        </w:rPr>
      </w:pPr>
      <w:r w:rsidRPr="008842F3">
        <w:rPr>
          <w:sz w:val="21"/>
          <w:szCs w:val="21"/>
        </w:rPr>
        <w:t xml:space="preserve">Benefits under the Plan are provided by a trust (benefits are provided in whole from trust funds).  Total Plan expenses were </w:t>
      </w:r>
      <w:r w:rsidRPr="008842F3">
        <w:rPr>
          <w:b/>
          <w:sz w:val="21"/>
          <w:szCs w:val="21"/>
        </w:rPr>
        <w:t>$</w:t>
      </w:r>
      <w:r w:rsidR="00F10F40" w:rsidRPr="008842F3">
        <w:rPr>
          <w:b/>
          <w:sz w:val="21"/>
          <w:szCs w:val="21"/>
        </w:rPr>
        <w:t>7,0</w:t>
      </w:r>
      <w:r w:rsidR="00805BDF" w:rsidRPr="008842F3">
        <w:rPr>
          <w:b/>
          <w:sz w:val="21"/>
          <w:szCs w:val="21"/>
        </w:rPr>
        <w:t>02,776</w:t>
      </w:r>
      <w:r w:rsidRPr="008842F3">
        <w:rPr>
          <w:sz w:val="21"/>
          <w:szCs w:val="21"/>
        </w:rPr>
        <w:t xml:space="preserve">.  These include </w:t>
      </w:r>
      <w:r w:rsidR="00324BA8" w:rsidRPr="008842F3">
        <w:rPr>
          <w:sz w:val="21"/>
          <w:szCs w:val="21"/>
        </w:rPr>
        <w:t xml:space="preserve">benefit payments of </w:t>
      </w:r>
      <w:r w:rsidRPr="008842F3">
        <w:rPr>
          <w:b/>
          <w:sz w:val="21"/>
          <w:szCs w:val="21"/>
        </w:rPr>
        <w:t>$</w:t>
      </w:r>
      <w:r w:rsidR="00F10F40" w:rsidRPr="008842F3">
        <w:rPr>
          <w:b/>
          <w:sz w:val="21"/>
          <w:szCs w:val="21"/>
        </w:rPr>
        <w:t>6,9</w:t>
      </w:r>
      <w:r w:rsidR="00805BDF" w:rsidRPr="008842F3">
        <w:rPr>
          <w:b/>
          <w:sz w:val="21"/>
          <w:szCs w:val="21"/>
        </w:rPr>
        <w:t>15,140</w:t>
      </w:r>
      <w:r w:rsidR="009E160C" w:rsidRPr="008842F3">
        <w:rPr>
          <w:sz w:val="21"/>
          <w:szCs w:val="21"/>
        </w:rPr>
        <w:t xml:space="preserve"> and </w:t>
      </w:r>
      <w:r w:rsidR="00324BA8" w:rsidRPr="008842F3">
        <w:rPr>
          <w:sz w:val="21"/>
          <w:szCs w:val="21"/>
        </w:rPr>
        <w:t>a</w:t>
      </w:r>
      <w:r w:rsidRPr="008842F3">
        <w:rPr>
          <w:sz w:val="21"/>
          <w:szCs w:val="21"/>
        </w:rPr>
        <w:t>dministrative expenses</w:t>
      </w:r>
      <w:r w:rsidR="00324BA8" w:rsidRPr="008842F3">
        <w:rPr>
          <w:sz w:val="21"/>
          <w:szCs w:val="21"/>
        </w:rPr>
        <w:t xml:space="preserve"> of </w:t>
      </w:r>
      <w:r w:rsidRPr="008842F3">
        <w:rPr>
          <w:b/>
          <w:sz w:val="21"/>
          <w:szCs w:val="21"/>
        </w:rPr>
        <w:t>$</w:t>
      </w:r>
      <w:r w:rsidR="00805BDF" w:rsidRPr="008842F3">
        <w:rPr>
          <w:b/>
          <w:sz w:val="21"/>
          <w:szCs w:val="21"/>
        </w:rPr>
        <w:t>87,636</w:t>
      </w:r>
      <w:r w:rsidRPr="008842F3">
        <w:rPr>
          <w:sz w:val="21"/>
          <w:szCs w:val="21"/>
        </w:rPr>
        <w:t xml:space="preserve">.  A total of </w:t>
      </w:r>
      <w:r w:rsidR="00E90C73" w:rsidRPr="008842F3">
        <w:rPr>
          <w:b/>
          <w:sz w:val="21"/>
          <w:szCs w:val="21"/>
        </w:rPr>
        <w:t>1,2</w:t>
      </w:r>
      <w:r w:rsidR="00FA3771" w:rsidRPr="008842F3">
        <w:rPr>
          <w:b/>
          <w:sz w:val="21"/>
          <w:szCs w:val="21"/>
        </w:rPr>
        <w:t>59</w:t>
      </w:r>
      <w:r w:rsidRPr="008842F3">
        <w:rPr>
          <w:sz w:val="21"/>
          <w:szCs w:val="21"/>
        </w:rPr>
        <w:t xml:space="preserve"> persons were participants in or beneficiaries of the Plan at the end of the plan year, although some may not have earned the right to receive benefits.</w:t>
      </w:r>
    </w:p>
    <w:p w14:paraId="2D5B2D5B" w14:textId="7E27878A" w:rsidR="008F1B55" w:rsidRPr="008842F3" w:rsidRDefault="008F1B55" w:rsidP="00FB6874">
      <w:pPr>
        <w:spacing w:before="240"/>
        <w:rPr>
          <w:sz w:val="21"/>
          <w:szCs w:val="21"/>
        </w:rPr>
      </w:pPr>
      <w:r w:rsidRPr="008842F3">
        <w:rPr>
          <w:sz w:val="21"/>
          <w:szCs w:val="21"/>
        </w:rPr>
        <w:t xml:space="preserve">The value of Plan assets, after subtracting liabilities was </w:t>
      </w:r>
      <w:r w:rsidRPr="008842F3">
        <w:rPr>
          <w:b/>
          <w:sz w:val="21"/>
          <w:szCs w:val="21"/>
        </w:rPr>
        <w:t>$</w:t>
      </w:r>
      <w:r w:rsidR="00805BDF" w:rsidRPr="008842F3">
        <w:rPr>
          <w:b/>
          <w:sz w:val="21"/>
          <w:szCs w:val="21"/>
        </w:rPr>
        <w:t>152,608,212</w:t>
      </w:r>
      <w:r w:rsidRPr="008842F3">
        <w:rPr>
          <w:sz w:val="21"/>
          <w:szCs w:val="21"/>
        </w:rPr>
        <w:t xml:space="preserve"> as of</w:t>
      </w:r>
      <w:r w:rsidRPr="008842F3">
        <w:rPr>
          <w:b/>
          <w:sz w:val="21"/>
          <w:szCs w:val="21"/>
        </w:rPr>
        <w:t xml:space="preserve"> </w:t>
      </w:r>
      <w:r w:rsidRPr="008842F3">
        <w:rPr>
          <w:sz w:val="21"/>
          <w:szCs w:val="21"/>
        </w:rPr>
        <w:t>March 31, 20</w:t>
      </w:r>
      <w:r w:rsidR="008B4048" w:rsidRPr="008842F3">
        <w:rPr>
          <w:sz w:val="21"/>
          <w:szCs w:val="21"/>
        </w:rPr>
        <w:t>2</w:t>
      </w:r>
      <w:r w:rsidR="00805BDF" w:rsidRPr="008842F3">
        <w:rPr>
          <w:sz w:val="21"/>
          <w:szCs w:val="21"/>
        </w:rPr>
        <w:t>4</w:t>
      </w:r>
      <w:r w:rsidR="00C50BF1" w:rsidRPr="008842F3">
        <w:rPr>
          <w:sz w:val="21"/>
          <w:szCs w:val="21"/>
        </w:rPr>
        <w:t>,</w:t>
      </w:r>
      <w:r w:rsidRPr="008842F3">
        <w:rPr>
          <w:sz w:val="21"/>
          <w:szCs w:val="21"/>
        </w:rPr>
        <w:t xml:space="preserve"> compared to </w:t>
      </w:r>
      <w:r w:rsidRPr="008842F3">
        <w:rPr>
          <w:b/>
          <w:sz w:val="21"/>
          <w:szCs w:val="21"/>
        </w:rPr>
        <w:t>$</w:t>
      </w:r>
      <w:r w:rsidR="00072334" w:rsidRPr="008842F3">
        <w:rPr>
          <w:b/>
          <w:sz w:val="21"/>
          <w:szCs w:val="21"/>
        </w:rPr>
        <w:t>1</w:t>
      </w:r>
      <w:r w:rsidR="00805BDF" w:rsidRPr="008842F3">
        <w:rPr>
          <w:b/>
          <w:sz w:val="21"/>
          <w:szCs w:val="21"/>
        </w:rPr>
        <w:t>29,133,361</w:t>
      </w:r>
      <w:r w:rsidR="00B4035B" w:rsidRPr="008842F3">
        <w:rPr>
          <w:sz w:val="21"/>
          <w:szCs w:val="21"/>
        </w:rPr>
        <w:t xml:space="preserve"> </w:t>
      </w:r>
      <w:r w:rsidRPr="008842F3">
        <w:rPr>
          <w:sz w:val="21"/>
          <w:szCs w:val="21"/>
        </w:rPr>
        <w:t>as of April 1, 20</w:t>
      </w:r>
      <w:r w:rsidR="005E0811" w:rsidRPr="008842F3">
        <w:rPr>
          <w:sz w:val="21"/>
          <w:szCs w:val="21"/>
        </w:rPr>
        <w:t>2</w:t>
      </w:r>
      <w:r w:rsidR="00805BDF" w:rsidRPr="008842F3">
        <w:rPr>
          <w:sz w:val="21"/>
          <w:szCs w:val="21"/>
        </w:rPr>
        <w:t>3</w:t>
      </w:r>
      <w:r w:rsidRPr="008842F3">
        <w:rPr>
          <w:sz w:val="21"/>
          <w:szCs w:val="21"/>
        </w:rPr>
        <w:t>.  During the plan year, the Plan experienced a change in its net assets of</w:t>
      </w:r>
      <w:r w:rsidR="005C58B3" w:rsidRPr="008842F3">
        <w:rPr>
          <w:sz w:val="21"/>
          <w:szCs w:val="21"/>
        </w:rPr>
        <w:t xml:space="preserve"> </w:t>
      </w:r>
      <w:r w:rsidR="005E0811" w:rsidRPr="008842F3">
        <w:rPr>
          <w:b/>
          <w:bCs/>
          <w:sz w:val="21"/>
          <w:szCs w:val="21"/>
        </w:rPr>
        <w:t>$</w:t>
      </w:r>
      <w:r w:rsidR="00805BDF" w:rsidRPr="008842F3">
        <w:rPr>
          <w:b/>
          <w:bCs/>
          <w:sz w:val="21"/>
          <w:szCs w:val="21"/>
        </w:rPr>
        <w:t>23,474,851</w:t>
      </w:r>
      <w:r w:rsidRPr="008842F3">
        <w:rPr>
          <w:sz w:val="21"/>
          <w:szCs w:val="21"/>
        </w:rPr>
        <w:t xml:space="preserve">.  This change includes unrealized appreciation or depreciation in the value of Plan assets; that is, the difference between the value of the Plan’s assets at the end of the year and the value of the assets at the beginning of the year or the cost of assets acquired during the year. The Plan had total </w:t>
      </w:r>
      <w:r w:rsidR="00281802" w:rsidRPr="008842F3">
        <w:rPr>
          <w:sz w:val="21"/>
          <w:szCs w:val="21"/>
        </w:rPr>
        <w:t>income of</w:t>
      </w:r>
      <w:r w:rsidRPr="008842F3">
        <w:rPr>
          <w:sz w:val="21"/>
          <w:szCs w:val="21"/>
        </w:rPr>
        <w:t xml:space="preserve"> </w:t>
      </w:r>
      <w:r w:rsidR="005E0811" w:rsidRPr="008842F3">
        <w:rPr>
          <w:b/>
          <w:sz w:val="21"/>
          <w:szCs w:val="21"/>
        </w:rPr>
        <w:t>$</w:t>
      </w:r>
      <w:r w:rsidR="00805BDF" w:rsidRPr="008842F3">
        <w:rPr>
          <w:b/>
          <w:sz w:val="21"/>
          <w:szCs w:val="21"/>
        </w:rPr>
        <w:t>30,477,627</w:t>
      </w:r>
      <w:r w:rsidR="00324BA8" w:rsidRPr="008842F3">
        <w:rPr>
          <w:sz w:val="21"/>
          <w:szCs w:val="21"/>
        </w:rPr>
        <w:t>,</w:t>
      </w:r>
      <w:r w:rsidRPr="008842F3">
        <w:rPr>
          <w:sz w:val="21"/>
          <w:szCs w:val="21"/>
        </w:rPr>
        <w:t xml:space="preserve"> which included employer contributions of </w:t>
      </w:r>
      <w:r w:rsidRPr="008842F3">
        <w:rPr>
          <w:b/>
          <w:sz w:val="21"/>
          <w:szCs w:val="21"/>
        </w:rPr>
        <w:t>$</w:t>
      </w:r>
      <w:r w:rsidR="00F10F40" w:rsidRPr="008842F3">
        <w:rPr>
          <w:b/>
          <w:sz w:val="21"/>
          <w:szCs w:val="21"/>
        </w:rPr>
        <w:t>8,</w:t>
      </w:r>
      <w:r w:rsidR="00805BDF" w:rsidRPr="008842F3">
        <w:rPr>
          <w:b/>
          <w:sz w:val="21"/>
          <w:szCs w:val="21"/>
        </w:rPr>
        <w:t>712,520</w:t>
      </w:r>
      <w:r w:rsidRPr="008842F3">
        <w:rPr>
          <w:sz w:val="21"/>
          <w:szCs w:val="21"/>
        </w:rPr>
        <w:t xml:space="preserve"> and </w:t>
      </w:r>
      <w:r w:rsidR="005E0811" w:rsidRPr="008842F3">
        <w:rPr>
          <w:b/>
          <w:bCs/>
          <w:sz w:val="21"/>
          <w:szCs w:val="21"/>
        </w:rPr>
        <w:t>$</w:t>
      </w:r>
      <w:r w:rsidR="00805BDF" w:rsidRPr="008842F3">
        <w:rPr>
          <w:b/>
          <w:bCs/>
          <w:sz w:val="21"/>
          <w:szCs w:val="21"/>
        </w:rPr>
        <w:t>21,765,107</w:t>
      </w:r>
      <w:r w:rsidRPr="008842F3">
        <w:rPr>
          <w:sz w:val="21"/>
          <w:szCs w:val="21"/>
        </w:rPr>
        <w:t xml:space="preserve"> in </w:t>
      </w:r>
      <w:r w:rsidR="00324BA8" w:rsidRPr="008842F3">
        <w:rPr>
          <w:sz w:val="21"/>
          <w:szCs w:val="21"/>
        </w:rPr>
        <w:t xml:space="preserve">net </w:t>
      </w:r>
      <w:r w:rsidR="003D2426" w:rsidRPr="008842F3">
        <w:rPr>
          <w:bCs/>
          <w:sz w:val="21"/>
          <w:szCs w:val="21"/>
        </w:rPr>
        <w:t>gains</w:t>
      </w:r>
      <w:r w:rsidRPr="008842F3">
        <w:rPr>
          <w:sz w:val="21"/>
          <w:szCs w:val="21"/>
        </w:rPr>
        <w:t xml:space="preserve"> from investments.</w:t>
      </w:r>
    </w:p>
    <w:p w14:paraId="1DE7C497" w14:textId="77777777" w:rsidR="008F1B55" w:rsidRPr="008842F3" w:rsidRDefault="008F1B55">
      <w:pPr>
        <w:rPr>
          <w:sz w:val="21"/>
          <w:szCs w:val="21"/>
        </w:rPr>
      </w:pPr>
    </w:p>
    <w:p w14:paraId="5F6DA819" w14:textId="77777777" w:rsidR="008F1B55" w:rsidRPr="008842F3" w:rsidRDefault="008F1B55">
      <w:pPr>
        <w:pStyle w:val="Heading1"/>
        <w:rPr>
          <w:b w:val="0"/>
          <w:sz w:val="21"/>
          <w:szCs w:val="21"/>
        </w:rPr>
      </w:pPr>
      <w:r w:rsidRPr="008842F3">
        <w:rPr>
          <w:b w:val="0"/>
          <w:sz w:val="21"/>
          <w:szCs w:val="21"/>
        </w:rPr>
        <w:t>Your Rights to Additional Information</w:t>
      </w:r>
    </w:p>
    <w:p w14:paraId="0CD6BFB8" w14:textId="77777777" w:rsidR="008F1B55" w:rsidRPr="008842F3" w:rsidRDefault="008F1B55">
      <w:pPr>
        <w:rPr>
          <w:sz w:val="21"/>
          <w:szCs w:val="21"/>
        </w:rPr>
      </w:pPr>
    </w:p>
    <w:p w14:paraId="2585BA41" w14:textId="77777777" w:rsidR="008F1B55" w:rsidRPr="008842F3" w:rsidRDefault="008F1B55">
      <w:pPr>
        <w:rPr>
          <w:sz w:val="21"/>
          <w:szCs w:val="21"/>
        </w:rPr>
      </w:pPr>
      <w:r w:rsidRPr="008842F3">
        <w:rPr>
          <w:sz w:val="21"/>
          <w:szCs w:val="21"/>
        </w:rPr>
        <w:t>You have the right to receive a copy of the full annual report or any part thereof, on request.  The items listed below are included in that report:</w:t>
      </w:r>
    </w:p>
    <w:p w14:paraId="1647233C" w14:textId="77777777" w:rsidR="008F1B55" w:rsidRPr="008842F3" w:rsidRDefault="008F1B55">
      <w:pPr>
        <w:rPr>
          <w:sz w:val="21"/>
          <w:szCs w:val="21"/>
        </w:rPr>
      </w:pPr>
    </w:p>
    <w:p w14:paraId="421F838C" w14:textId="77777777" w:rsidR="008F1B55" w:rsidRPr="008842F3" w:rsidRDefault="008F1B55">
      <w:pPr>
        <w:numPr>
          <w:ilvl w:val="0"/>
          <w:numId w:val="2"/>
        </w:numPr>
        <w:tabs>
          <w:tab w:val="clear" w:pos="360"/>
          <w:tab w:val="num" w:pos="1080"/>
        </w:tabs>
        <w:ind w:left="1080"/>
        <w:rPr>
          <w:sz w:val="21"/>
          <w:szCs w:val="21"/>
        </w:rPr>
      </w:pPr>
      <w:r w:rsidRPr="008842F3">
        <w:rPr>
          <w:sz w:val="21"/>
          <w:szCs w:val="21"/>
        </w:rPr>
        <w:t>An accountant’s report</w:t>
      </w:r>
    </w:p>
    <w:p w14:paraId="4E066807" w14:textId="77777777" w:rsidR="008F1B55" w:rsidRPr="008842F3" w:rsidRDefault="008F1B55">
      <w:pPr>
        <w:numPr>
          <w:ilvl w:val="0"/>
          <w:numId w:val="2"/>
        </w:numPr>
        <w:tabs>
          <w:tab w:val="clear" w:pos="360"/>
          <w:tab w:val="num" w:pos="1080"/>
        </w:tabs>
        <w:ind w:left="1080"/>
        <w:rPr>
          <w:sz w:val="21"/>
          <w:szCs w:val="21"/>
        </w:rPr>
      </w:pPr>
      <w:r w:rsidRPr="008842F3">
        <w:rPr>
          <w:sz w:val="21"/>
          <w:szCs w:val="21"/>
        </w:rPr>
        <w:t>Financial information and information on payments to service providers</w:t>
      </w:r>
    </w:p>
    <w:p w14:paraId="66D1AA09" w14:textId="77777777" w:rsidR="008F1B55" w:rsidRPr="008842F3" w:rsidRDefault="008F1B55">
      <w:pPr>
        <w:numPr>
          <w:ilvl w:val="0"/>
          <w:numId w:val="2"/>
        </w:numPr>
        <w:tabs>
          <w:tab w:val="clear" w:pos="360"/>
          <w:tab w:val="num" w:pos="1080"/>
        </w:tabs>
        <w:ind w:left="1080"/>
        <w:rPr>
          <w:sz w:val="21"/>
          <w:szCs w:val="21"/>
        </w:rPr>
      </w:pPr>
      <w:r w:rsidRPr="008842F3">
        <w:rPr>
          <w:sz w:val="21"/>
          <w:szCs w:val="21"/>
        </w:rPr>
        <w:t>Assets held for investment</w:t>
      </w:r>
    </w:p>
    <w:p w14:paraId="1474FEC7" w14:textId="77777777" w:rsidR="009E160C" w:rsidRPr="008842F3" w:rsidRDefault="009E160C">
      <w:pPr>
        <w:numPr>
          <w:ilvl w:val="0"/>
          <w:numId w:val="2"/>
        </w:numPr>
        <w:tabs>
          <w:tab w:val="clear" w:pos="360"/>
          <w:tab w:val="num" w:pos="1080"/>
        </w:tabs>
        <w:ind w:left="1080"/>
        <w:rPr>
          <w:bCs/>
          <w:sz w:val="21"/>
          <w:szCs w:val="21"/>
        </w:rPr>
      </w:pPr>
      <w:r w:rsidRPr="008842F3">
        <w:rPr>
          <w:bCs/>
          <w:sz w:val="21"/>
          <w:szCs w:val="21"/>
        </w:rPr>
        <w:t>Information regarding any common or collective trusts, pooled separate accounts, master trusts or 103-12 investment entities in which the plan participates</w:t>
      </w:r>
    </w:p>
    <w:p w14:paraId="675ED429" w14:textId="77777777" w:rsidR="008F1B55" w:rsidRPr="008842F3" w:rsidRDefault="008F1B55" w:rsidP="008842F3">
      <w:pPr>
        <w:spacing w:line="120" w:lineRule="auto"/>
        <w:ind w:firstLine="720"/>
        <w:rPr>
          <w:sz w:val="21"/>
          <w:szCs w:val="21"/>
        </w:rPr>
      </w:pPr>
      <w:r w:rsidRPr="008842F3">
        <w:rPr>
          <w:sz w:val="21"/>
          <w:szCs w:val="21"/>
        </w:rPr>
        <w:tab/>
      </w:r>
    </w:p>
    <w:p w14:paraId="3BFE07C1" w14:textId="77777777" w:rsidR="008F1B55" w:rsidRPr="008842F3" w:rsidRDefault="008F1B55">
      <w:pPr>
        <w:rPr>
          <w:sz w:val="21"/>
          <w:szCs w:val="21"/>
        </w:rPr>
      </w:pPr>
      <w:r w:rsidRPr="008842F3">
        <w:rPr>
          <w:sz w:val="21"/>
          <w:szCs w:val="21"/>
        </w:rPr>
        <w:t>To obtain a copy of the full annual report or any part thereof, write or call the Fund office at 1700 – 52</w:t>
      </w:r>
      <w:r w:rsidRPr="008842F3">
        <w:rPr>
          <w:sz w:val="21"/>
          <w:szCs w:val="21"/>
          <w:vertAlign w:val="superscript"/>
        </w:rPr>
        <w:t>nd</w:t>
      </w:r>
      <w:r w:rsidRPr="008842F3">
        <w:rPr>
          <w:sz w:val="21"/>
          <w:szCs w:val="21"/>
        </w:rPr>
        <w:t xml:space="preserve"> Avenue, Suite</w:t>
      </w:r>
      <w:r w:rsidR="009C1E5F" w:rsidRPr="008842F3">
        <w:rPr>
          <w:sz w:val="21"/>
          <w:szCs w:val="21"/>
        </w:rPr>
        <w:t xml:space="preserve"> B, Moline, Illinois 61265, 309 -</w:t>
      </w:r>
      <w:r w:rsidRPr="008842F3">
        <w:rPr>
          <w:sz w:val="21"/>
          <w:szCs w:val="21"/>
        </w:rPr>
        <w:t>764-8080.  The charge to cover copying costs will be $2.00 for the full annual report, or $.25 per page for any part thereof.</w:t>
      </w:r>
    </w:p>
    <w:p w14:paraId="1B7C4F4E" w14:textId="77777777" w:rsidR="008F1B55" w:rsidRPr="008842F3" w:rsidRDefault="008F1B55">
      <w:pPr>
        <w:rPr>
          <w:sz w:val="21"/>
          <w:szCs w:val="21"/>
        </w:rPr>
      </w:pPr>
    </w:p>
    <w:p w14:paraId="0AFB3529" w14:textId="77777777" w:rsidR="008F1B55" w:rsidRPr="008842F3" w:rsidRDefault="008F1B55">
      <w:pPr>
        <w:rPr>
          <w:sz w:val="21"/>
          <w:szCs w:val="21"/>
        </w:rPr>
      </w:pPr>
      <w:r w:rsidRPr="008842F3">
        <w:rPr>
          <w:sz w:val="21"/>
          <w:szCs w:val="21"/>
        </w:rPr>
        <w:t>You also have the right to receive from the plan administrator, on request and at no charge, a statement of the assets and liabilities of the Plan and accompanying notes, or a statement of income and expenses of the Plan and accompanying notes, or both.  If you request a copy of the full annual report from the plan administrator, these two statements and accompanying notes will be included as part of the report. The charge to cover copying costs given above does not include a charge for copying of these portions or the report because these portions are furnished without charge.</w:t>
      </w:r>
    </w:p>
    <w:p w14:paraId="623326DB" w14:textId="77777777" w:rsidR="008F1B55" w:rsidRPr="008842F3" w:rsidRDefault="008F1B55">
      <w:pPr>
        <w:rPr>
          <w:sz w:val="21"/>
          <w:szCs w:val="21"/>
        </w:rPr>
      </w:pPr>
    </w:p>
    <w:p w14:paraId="5F668BE7" w14:textId="77777777" w:rsidR="008F1B55" w:rsidRPr="008842F3" w:rsidRDefault="008F1B55">
      <w:pPr>
        <w:rPr>
          <w:sz w:val="21"/>
          <w:szCs w:val="21"/>
        </w:rPr>
      </w:pPr>
      <w:r w:rsidRPr="008842F3">
        <w:rPr>
          <w:sz w:val="21"/>
          <w:szCs w:val="21"/>
        </w:rPr>
        <w:t xml:space="preserve">You also have the legally protected right to examine the annual report at the main office of the Plan: </w:t>
      </w:r>
    </w:p>
    <w:p w14:paraId="7C120FC8" w14:textId="77777777" w:rsidR="00AB50E0" w:rsidRPr="008842F3" w:rsidRDefault="00AB50E0" w:rsidP="00AB50E0">
      <w:pPr>
        <w:rPr>
          <w:sz w:val="21"/>
          <w:szCs w:val="21"/>
        </w:rPr>
      </w:pPr>
    </w:p>
    <w:p w14:paraId="5BF456F4" w14:textId="77777777" w:rsidR="00AB50E0" w:rsidRPr="008842F3" w:rsidRDefault="00AB50E0" w:rsidP="00AB50E0">
      <w:pPr>
        <w:rPr>
          <w:sz w:val="21"/>
          <w:szCs w:val="21"/>
        </w:rPr>
      </w:pPr>
      <w:r w:rsidRPr="008842F3">
        <w:rPr>
          <w:sz w:val="21"/>
          <w:szCs w:val="21"/>
        </w:rPr>
        <w:t>Plan Administrator</w:t>
      </w:r>
    </w:p>
    <w:p w14:paraId="47B8ACAD" w14:textId="3AF18F49" w:rsidR="00AB50E0" w:rsidRPr="008842F3" w:rsidRDefault="00AB50E0" w:rsidP="00AB50E0">
      <w:pPr>
        <w:rPr>
          <w:sz w:val="21"/>
          <w:szCs w:val="21"/>
        </w:rPr>
      </w:pPr>
      <w:r w:rsidRPr="008842F3">
        <w:rPr>
          <w:sz w:val="21"/>
          <w:szCs w:val="21"/>
        </w:rPr>
        <w:t>RJLEE &amp; Associates</w:t>
      </w:r>
    </w:p>
    <w:p w14:paraId="12C5411E" w14:textId="77777777" w:rsidR="00AB50E0" w:rsidRPr="008842F3" w:rsidRDefault="00AB50E0" w:rsidP="00AB50E0">
      <w:pPr>
        <w:rPr>
          <w:sz w:val="21"/>
          <w:szCs w:val="21"/>
        </w:rPr>
      </w:pPr>
      <w:r w:rsidRPr="008842F3">
        <w:rPr>
          <w:sz w:val="21"/>
          <w:szCs w:val="21"/>
        </w:rPr>
        <w:t>1700 Fifty Second Ave., Suite B</w:t>
      </w:r>
    </w:p>
    <w:p w14:paraId="345FCE54" w14:textId="77777777" w:rsidR="00AB50E0" w:rsidRPr="008842F3" w:rsidRDefault="00AB50E0" w:rsidP="00AB50E0">
      <w:pPr>
        <w:rPr>
          <w:sz w:val="21"/>
          <w:szCs w:val="21"/>
        </w:rPr>
      </w:pPr>
      <w:r w:rsidRPr="008842F3">
        <w:rPr>
          <w:sz w:val="21"/>
          <w:szCs w:val="21"/>
        </w:rPr>
        <w:t>Moline, Illinois  61265</w:t>
      </w:r>
    </w:p>
    <w:p w14:paraId="5A7B295B" w14:textId="77777777" w:rsidR="008F1B55" w:rsidRPr="008842F3" w:rsidRDefault="009C1E5F">
      <w:pPr>
        <w:rPr>
          <w:sz w:val="21"/>
          <w:szCs w:val="21"/>
        </w:rPr>
      </w:pPr>
      <w:r w:rsidRPr="008842F3">
        <w:rPr>
          <w:sz w:val="21"/>
          <w:szCs w:val="21"/>
        </w:rPr>
        <w:t>309-764-8080</w:t>
      </w:r>
    </w:p>
    <w:p w14:paraId="7402E5A2" w14:textId="77777777" w:rsidR="009C1E5F" w:rsidRPr="008842F3" w:rsidRDefault="009C1E5F">
      <w:pPr>
        <w:rPr>
          <w:sz w:val="21"/>
          <w:szCs w:val="21"/>
        </w:rPr>
      </w:pPr>
    </w:p>
    <w:p w14:paraId="2E3074E9" w14:textId="77777777" w:rsidR="008F1B55" w:rsidRPr="008842F3" w:rsidRDefault="008F1B55">
      <w:pPr>
        <w:rPr>
          <w:sz w:val="21"/>
          <w:szCs w:val="21"/>
        </w:rPr>
      </w:pPr>
      <w:r w:rsidRPr="008842F3">
        <w:rPr>
          <w:sz w:val="21"/>
          <w:szCs w:val="21"/>
        </w:rPr>
        <w:t>and at the U.S. Department of Labor in Washington, D.C., or to obtain a copy from the U.S. Department of Labor upon payment of copying costs.  Requests to the Department should be addressed to:</w:t>
      </w:r>
    </w:p>
    <w:p w14:paraId="1401C844" w14:textId="77777777" w:rsidR="008F1B55" w:rsidRPr="008842F3" w:rsidRDefault="008F1B55">
      <w:pPr>
        <w:rPr>
          <w:sz w:val="21"/>
          <w:szCs w:val="21"/>
        </w:rPr>
      </w:pPr>
    </w:p>
    <w:p w14:paraId="236CA655" w14:textId="77777777" w:rsidR="008F1B55" w:rsidRPr="008842F3" w:rsidRDefault="008F1B55">
      <w:pPr>
        <w:rPr>
          <w:sz w:val="21"/>
          <w:szCs w:val="21"/>
        </w:rPr>
      </w:pPr>
      <w:r w:rsidRPr="008842F3">
        <w:rPr>
          <w:sz w:val="21"/>
          <w:szCs w:val="21"/>
        </w:rPr>
        <w:t>Public Disclosure Room</w:t>
      </w:r>
    </w:p>
    <w:p w14:paraId="1A35C540" w14:textId="77777777" w:rsidR="008F1B55" w:rsidRPr="008842F3" w:rsidRDefault="008F1B55">
      <w:pPr>
        <w:rPr>
          <w:sz w:val="21"/>
          <w:szCs w:val="21"/>
        </w:rPr>
      </w:pPr>
      <w:r w:rsidRPr="008842F3">
        <w:rPr>
          <w:sz w:val="21"/>
          <w:szCs w:val="21"/>
        </w:rPr>
        <w:t>N</w:t>
      </w:r>
      <w:r w:rsidR="00846869" w:rsidRPr="008842F3">
        <w:rPr>
          <w:sz w:val="21"/>
          <w:szCs w:val="21"/>
        </w:rPr>
        <w:t>-1513</w:t>
      </w:r>
    </w:p>
    <w:p w14:paraId="1BDCEED6" w14:textId="77777777" w:rsidR="008F1B55" w:rsidRPr="008842F3" w:rsidRDefault="00846869">
      <w:pPr>
        <w:rPr>
          <w:sz w:val="21"/>
          <w:szCs w:val="21"/>
        </w:rPr>
      </w:pPr>
      <w:r w:rsidRPr="008842F3">
        <w:rPr>
          <w:sz w:val="21"/>
          <w:szCs w:val="21"/>
        </w:rPr>
        <w:t>Employee Benefits Security Administration</w:t>
      </w:r>
    </w:p>
    <w:p w14:paraId="05C33F45" w14:textId="77777777" w:rsidR="008F1B55" w:rsidRPr="008842F3" w:rsidRDefault="008F1B55">
      <w:pPr>
        <w:rPr>
          <w:sz w:val="21"/>
          <w:szCs w:val="21"/>
        </w:rPr>
      </w:pPr>
      <w:r w:rsidRPr="008842F3">
        <w:rPr>
          <w:sz w:val="21"/>
          <w:szCs w:val="21"/>
        </w:rPr>
        <w:t>U.S. Department of Labor</w:t>
      </w:r>
    </w:p>
    <w:p w14:paraId="2E5EDE09" w14:textId="77777777" w:rsidR="00AB50E0" w:rsidRPr="008842F3" w:rsidRDefault="008F1B55">
      <w:pPr>
        <w:rPr>
          <w:sz w:val="21"/>
          <w:szCs w:val="21"/>
        </w:rPr>
      </w:pPr>
      <w:r w:rsidRPr="008842F3">
        <w:rPr>
          <w:sz w:val="21"/>
          <w:szCs w:val="21"/>
        </w:rPr>
        <w:t>200 Constitution Avenue, N.W.</w:t>
      </w:r>
    </w:p>
    <w:p w14:paraId="0878B9F1" w14:textId="77777777" w:rsidR="008F1B55" w:rsidRPr="008842F3" w:rsidRDefault="008F1B55">
      <w:pPr>
        <w:rPr>
          <w:sz w:val="21"/>
          <w:szCs w:val="21"/>
        </w:rPr>
      </w:pPr>
      <w:r w:rsidRPr="008842F3">
        <w:rPr>
          <w:sz w:val="21"/>
          <w:szCs w:val="21"/>
        </w:rPr>
        <w:t>Washington, D.C. 20210</w:t>
      </w:r>
    </w:p>
    <w:sectPr w:rsidR="008F1B55" w:rsidRPr="008842F3" w:rsidSect="0072550A">
      <w:headerReference w:type="even" r:id="rId7"/>
      <w:headerReference w:type="default" r:id="rId8"/>
      <w:footerReference w:type="even" r:id="rId9"/>
      <w:footerReference w:type="default" r:id="rId10"/>
      <w:headerReference w:type="first" r:id="rId11"/>
      <w:footerReference w:type="first" r:id="rId12"/>
      <w:pgSz w:w="12240" w:h="15840"/>
      <w:pgMar w:top="720" w:right="720" w:bottom="540" w:left="720"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F3DE5" w14:textId="77777777" w:rsidR="008477B1" w:rsidRDefault="008477B1" w:rsidP="009C1E5F">
      <w:r>
        <w:separator/>
      </w:r>
    </w:p>
  </w:endnote>
  <w:endnote w:type="continuationSeparator" w:id="0">
    <w:p w14:paraId="7A04B454" w14:textId="77777777" w:rsidR="008477B1" w:rsidRDefault="008477B1" w:rsidP="009C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EB70" w14:textId="77777777" w:rsidR="009C1E5F" w:rsidRDefault="009C1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F291" w14:textId="77777777" w:rsidR="009C1E5F" w:rsidRDefault="009C1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9483" w14:textId="77777777" w:rsidR="009C1E5F" w:rsidRDefault="009C1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486CD" w14:textId="77777777" w:rsidR="008477B1" w:rsidRDefault="008477B1" w:rsidP="009C1E5F">
      <w:r>
        <w:separator/>
      </w:r>
    </w:p>
  </w:footnote>
  <w:footnote w:type="continuationSeparator" w:id="0">
    <w:p w14:paraId="1E633716" w14:textId="77777777" w:rsidR="008477B1" w:rsidRDefault="008477B1" w:rsidP="009C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28E7" w14:textId="77777777" w:rsidR="009C1E5F" w:rsidRDefault="009C1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20253" w14:textId="77777777" w:rsidR="009C1E5F" w:rsidRDefault="009C1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2DAFF" w14:textId="77777777" w:rsidR="009C1E5F" w:rsidRDefault="009C1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E32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4896FC5"/>
    <w:multiLevelType w:val="singleLevel"/>
    <w:tmpl w:val="0409000F"/>
    <w:lvl w:ilvl="0">
      <w:start w:val="1"/>
      <w:numFmt w:val="decimal"/>
      <w:lvlText w:val="%1."/>
      <w:lvlJc w:val="left"/>
      <w:pPr>
        <w:tabs>
          <w:tab w:val="num" w:pos="360"/>
        </w:tabs>
        <w:ind w:left="360" w:hanging="360"/>
      </w:pPr>
    </w:lvl>
  </w:abstractNum>
  <w:num w:numId="1" w16cid:durableId="785927502">
    <w:abstractNumId w:val="0"/>
  </w:num>
  <w:num w:numId="2" w16cid:durableId="943615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B3"/>
    <w:rsid w:val="00000510"/>
    <w:rsid w:val="000037A1"/>
    <w:rsid w:val="00005AC8"/>
    <w:rsid w:val="000169D8"/>
    <w:rsid w:val="00072334"/>
    <w:rsid w:val="000E5244"/>
    <w:rsid w:val="00107EF2"/>
    <w:rsid w:val="001A2834"/>
    <w:rsid w:val="001C296E"/>
    <w:rsid w:val="002024C5"/>
    <w:rsid w:val="00206961"/>
    <w:rsid w:val="002620AD"/>
    <w:rsid w:val="002635E0"/>
    <w:rsid w:val="00281802"/>
    <w:rsid w:val="002F13F8"/>
    <w:rsid w:val="00324BA8"/>
    <w:rsid w:val="00356BE7"/>
    <w:rsid w:val="00361A95"/>
    <w:rsid w:val="00387803"/>
    <w:rsid w:val="003C2BA9"/>
    <w:rsid w:val="003C3B26"/>
    <w:rsid w:val="003D2426"/>
    <w:rsid w:val="004862C6"/>
    <w:rsid w:val="004961F0"/>
    <w:rsid w:val="004D7720"/>
    <w:rsid w:val="00502E69"/>
    <w:rsid w:val="00556525"/>
    <w:rsid w:val="00557E05"/>
    <w:rsid w:val="005979EC"/>
    <w:rsid w:val="005C58B3"/>
    <w:rsid w:val="005E0811"/>
    <w:rsid w:val="005E3559"/>
    <w:rsid w:val="00611CC6"/>
    <w:rsid w:val="006A3375"/>
    <w:rsid w:val="006E2BB0"/>
    <w:rsid w:val="006F5B3B"/>
    <w:rsid w:val="00704C53"/>
    <w:rsid w:val="0072550A"/>
    <w:rsid w:val="00737C80"/>
    <w:rsid w:val="0074699A"/>
    <w:rsid w:val="007F4179"/>
    <w:rsid w:val="00800055"/>
    <w:rsid w:val="00805BDF"/>
    <w:rsid w:val="0081249D"/>
    <w:rsid w:val="00845197"/>
    <w:rsid w:val="00846869"/>
    <w:rsid w:val="008477B1"/>
    <w:rsid w:val="00853EE4"/>
    <w:rsid w:val="00861D19"/>
    <w:rsid w:val="008842F3"/>
    <w:rsid w:val="008923AB"/>
    <w:rsid w:val="008B4048"/>
    <w:rsid w:val="008D3241"/>
    <w:rsid w:val="008D78F3"/>
    <w:rsid w:val="008E5D5C"/>
    <w:rsid w:val="008F1B55"/>
    <w:rsid w:val="008F753A"/>
    <w:rsid w:val="009043A8"/>
    <w:rsid w:val="009748E6"/>
    <w:rsid w:val="00994A22"/>
    <w:rsid w:val="009C1E5F"/>
    <w:rsid w:val="009E160C"/>
    <w:rsid w:val="00A404EF"/>
    <w:rsid w:val="00A97EB7"/>
    <w:rsid w:val="00AA3CD0"/>
    <w:rsid w:val="00AA7C3E"/>
    <w:rsid w:val="00AB50E0"/>
    <w:rsid w:val="00B03BA2"/>
    <w:rsid w:val="00B37A4A"/>
    <w:rsid w:val="00B4035B"/>
    <w:rsid w:val="00B75073"/>
    <w:rsid w:val="00BA16DA"/>
    <w:rsid w:val="00BB1FA7"/>
    <w:rsid w:val="00BF2E5E"/>
    <w:rsid w:val="00C01AE4"/>
    <w:rsid w:val="00C50BF1"/>
    <w:rsid w:val="00C52566"/>
    <w:rsid w:val="00C87566"/>
    <w:rsid w:val="00CA3D98"/>
    <w:rsid w:val="00D13DAD"/>
    <w:rsid w:val="00D42AA3"/>
    <w:rsid w:val="00DB5A9A"/>
    <w:rsid w:val="00DD28B3"/>
    <w:rsid w:val="00E90C73"/>
    <w:rsid w:val="00EC3521"/>
    <w:rsid w:val="00F02AF0"/>
    <w:rsid w:val="00F10F40"/>
    <w:rsid w:val="00F41973"/>
    <w:rsid w:val="00F47E77"/>
    <w:rsid w:val="00FA3771"/>
    <w:rsid w:val="00FB6874"/>
    <w:rsid w:val="00FC3752"/>
    <w:rsid w:val="00FE0021"/>
    <w:rsid w:val="00FE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9EBF6"/>
  <w15:chartTrackingRefBased/>
  <w15:docId w15:val="{D3AFB6D3-2B4E-40D3-9401-D57E44E3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alloonText">
    <w:name w:val="Balloon Text"/>
    <w:basedOn w:val="Normal"/>
    <w:link w:val="BalloonTextChar"/>
    <w:rsid w:val="009043A8"/>
    <w:rPr>
      <w:rFonts w:ascii="Segoe UI" w:hAnsi="Segoe UI" w:cs="Segoe UI"/>
      <w:sz w:val="18"/>
      <w:szCs w:val="18"/>
    </w:rPr>
  </w:style>
  <w:style w:type="character" w:customStyle="1" w:styleId="BalloonTextChar">
    <w:name w:val="Balloon Text Char"/>
    <w:link w:val="BalloonText"/>
    <w:rsid w:val="009043A8"/>
    <w:rPr>
      <w:rFonts w:ascii="Segoe UI" w:hAnsi="Segoe UI" w:cs="Segoe UI"/>
      <w:sz w:val="18"/>
      <w:szCs w:val="18"/>
    </w:rPr>
  </w:style>
  <w:style w:type="paragraph" w:styleId="Header">
    <w:name w:val="header"/>
    <w:basedOn w:val="Normal"/>
    <w:link w:val="HeaderChar"/>
    <w:rsid w:val="009C1E5F"/>
    <w:pPr>
      <w:tabs>
        <w:tab w:val="center" w:pos="4680"/>
        <w:tab w:val="right" w:pos="9360"/>
      </w:tabs>
    </w:pPr>
  </w:style>
  <w:style w:type="character" w:customStyle="1" w:styleId="HeaderChar">
    <w:name w:val="Header Char"/>
    <w:basedOn w:val="DefaultParagraphFont"/>
    <w:link w:val="Header"/>
    <w:rsid w:val="009C1E5F"/>
  </w:style>
  <w:style w:type="paragraph" w:styleId="Footer">
    <w:name w:val="footer"/>
    <w:basedOn w:val="Normal"/>
    <w:link w:val="FooterChar"/>
    <w:rsid w:val="009C1E5F"/>
    <w:pPr>
      <w:tabs>
        <w:tab w:val="center" w:pos="4680"/>
        <w:tab w:val="right" w:pos="9360"/>
      </w:tabs>
    </w:pPr>
  </w:style>
  <w:style w:type="character" w:customStyle="1" w:styleId="FooterChar">
    <w:name w:val="Footer Char"/>
    <w:basedOn w:val="DefaultParagraphFont"/>
    <w:link w:val="Footer"/>
    <w:rsid w:val="009C1E5F"/>
  </w:style>
  <w:style w:type="character" w:styleId="CommentReference">
    <w:name w:val="annotation reference"/>
    <w:basedOn w:val="DefaultParagraphFont"/>
    <w:rsid w:val="00005AC8"/>
    <w:rPr>
      <w:sz w:val="16"/>
      <w:szCs w:val="16"/>
    </w:rPr>
  </w:style>
  <w:style w:type="paragraph" w:styleId="CommentText">
    <w:name w:val="annotation text"/>
    <w:basedOn w:val="Normal"/>
    <w:link w:val="CommentTextChar"/>
    <w:rsid w:val="00005AC8"/>
  </w:style>
  <w:style w:type="character" w:customStyle="1" w:styleId="CommentTextChar">
    <w:name w:val="Comment Text Char"/>
    <w:basedOn w:val="DefaultParagraphFont"/>
    <w:link w:val="CommentText"/>
    <w:rsid w:val="00005AC8"/>
  </w:style>
  <w:style w:type="paragraph" w:styleId="CommentSubject">
    <w:name w:val="annotation subject"/>
    <w:basedOn w:val="CommentText"/>
    <w:next w:val="CommentText"/>
    <w:link w:val="CommentSubjectChar"/>
    <w:rsid w:val="00005AC8"/>
    <w:rPr>
      <w:b/>
      <w:bCs/>
    </w:rPr>
  </w:style>
  <w:style w:type="character" w:customStyle="1" w:styleId="CommentSubjectChar">
    <w:name w:val="Comment Subject Char"/>
    <w:basedOn w:val="CommentTextChar"/>
    <w:link w:val="CommentSubject"/>
    <w:rsid w:val="00005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SUMMARY ANNUAL REPORT</vt:lpstr>
    </vt:vector>
  </TitlesOfParts>
  <Company>RJ Lee and Associates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ANNUAL REPORT</dc:title>
  <dc:subject/>
  <dc:creator>Compaq</dc:creator>
  <cp:keywords/>
  <cp:lastModifiedBy>Shane Thomas</cp:lastModifiedBy>
  <cp:revision>4</cp:revision>
  <cp:lastPrinted>2016-11-14T15:18:00Z</cp:lastPrinted>
  <dcterms:created xsi:type="dcterms:W3CDTF">2024-12-09T16:14:00Z</dcterms:created>
  <dcterms:modified xsi:type="dcterms:W3CDTF">2024-12-09T18:57:00Z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ies>
</file>